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F1B51" w:rsidRDefault="00162EFF" w:rsidP="00162EFF">
      <w:pPr>
        <w:pStyle w:val="Title"/>
        <w:jc w:val="center"/>
      </w:pPr>
      <w:r>
        <w:t>Information ENAV17</w:t>
      </w:r>
    </w:p>
    <w:p w:rsidR="001232DF" w:rsidRDefault="001232DF" w:rsidP="001232DF">
      <w:pPr>
        <w:pStyle w:val="Heading1"/>
      </w:pPr>
      <w:r>
        <w:t>Venue</w:t>
      </w:r>
    </w:p>
    <w:p w:rsidR="001232DF" w:rsidRDefault="001232DF" w:rsidP="001232DF">
      <w:r>
        <w:t>Please see the next page for location.</w:t>
      </w:r>
    </w:p>
    <w:p w:rsidR="001232DF" w:rsidRDefault="001232DF" w:rsidP="001232DF">
      <w:r>
        <w:t xml:space="preserve">Registration will be inside the entrance to </w:t>
      </w:r>
      <w:proofErr w:type="spellStart"/>
      <w:r>
        <w:t>LeQuartz</w:t>
      </w:r>
      <w:proofErr w:type="spellEnd"/>
      <w:r>
        <w:t>. You will be directed to the meeting room at registration.</w:t>
      </w:r>
    </w:p>
    <w:p w:rsidR="00EE7C00" w:rsidRDefault="001232DF" w:rsidP="001232DF">
      <w:r>
        <w:t>A map of the building layout showing all rooms is provided on the IALA web site.</w:t>
      </w:r>
    </w:p>
    <w:p w:rsidR="001232DF" w:rsidRDefault="001232DF" w:rsidP="00162EFF">
      <w:pPr>
        <w:pStyle w:val="Heading1"/>
      </w:pPr>
      <w:r>
        <w:t>Coffee breaks</w:t>
      </w:r>
    </w:p>
    <w:p w:rsidR="001232DF" w:rsidRDefault="001232DF" w:rsidP="001232DF">
      <w:r>
        <w:t>Coffee breaks will be provided in the exhibition area.</w:t>
      </w:r>
    </w:p>
    <w:p w:rsidR="00310607" w:rsidRDefault="00310607" w:rsidP="00310607">
      <w:pPr>
        <w:pStyle w:val="Heading1"/>
      </w:pPr>
      <w:r>
        <w:t>Computer facilities</w:t>
      </w:r>
    </w:p>
    <w:p w:rsidR="00310607" w:rsidRDefault="00310607" w:rsidP="00310607">
      <w:proofErr w:type="spellStart"/>
      <w:r>
        <w:t>WiFi</w:t>
      </w:r>
      <w:proofErr w:type="spellEnd"/>
      <w:r>
        <w:t xml:space="preserve"> </w:t>
      </w:r>
      <w:proofErr w:type="gramStart"/>
      <w:r>
        <w:t>and  ftp</w:t>
      </w:r>
      <w:proofErr w:type="gramEnd"/>
      <w:r>
        <w:t xml:space="preserve"> facilities will be provided. Access details will be provided at registration.</w:t>
      </w:r>
    </w:p>
    <w:p w:rsidR="00310607" w:rsidRDefault="00310607" w:rsidP="00310607">
      <w:pPr>
        <w:pStyle w:val="Heading1"/>
      </w:pPr>
      <w:r>
        <w:t>Exhibition</w:t>
      </w:r>
    </w:p>
    <w:p w:rsidR="00310607" w:rsidRDefault="00310607" w:rsidP="00310607">
      <w:r>
        <w:t>An exhibition of AtoN equipment will be provided by a number of IALA Industrial Members as part of the SaferSeas exhibition. All ENAV Committee members are encouraged to visit the IALA exhibition booths to discuss the latest developments in AtoN equipment and systems.</w:t>
      </w:r>
    </w:p>
    <w:p w:rsidR="00310607" w:rsidRDefault="00310607" w:rsidP="00310607">
      <w:pPr>
        <w:pStyle w:val="Heading1"/>
      </w:pPr>
      <w:r>
        <w:t>Meeting rooms</w:t>
      </w:r>
    </w:p>
    <w:p w:rsidR="00310607" w:rsidRDefault="00310607" w:rsidP="00310607">
      <w:r>
        <w:t xml:space="preserve">The plenary session will be held in the </w:t>
      </w:r>
      <w:r w:rsidRPr="001A2D26">
        <w:t xml:space="preserve">Petit </w:t>
      </w:r>
      <w:proofErr w:type="spellStart"/>
      <w:r w:rsidRPr="001A2D26">
        <w:t>Théatre</w:t>
      </w:r>
      <w:proofErr w:type="spellEnd"/>
      <w:r>
        <w:t>.</w:t>
      </w:r>
    </w:p>
    <w:p w:rsidR="00310607" w:rsidRDefault="00310607" w:rsidP="00310607">
      <w:r>
        <w:t>Information on the location of meetings rooms for Working Groups is provided on the IALA web site</w:t>
      </w:r>
      <w:r>
        <w:t xml:space="preserve"> ENAV17-0.5</w:t>
      </w:r>
      <w:bookmarkStart w:id="0" w:name="_GoBack"/>
      <w:bookmarkEnd w:id="0"/>
      <w:r>
        <w:t>.</w:t>
      </w:r>
    </w:p>
    <w:p w:rsidR="00310607" w:rsidRDefault="00310607" w:rsidP="00310607">
      <w:pPr>
        <w:pStyle w:val="Heading1"/>
      </w:pPr>
      <w:r>
        <w:t>SaferSeas</w:t>
      </w:r>
    </w:p>
    <w:p w:rsidR="00310607" w:rsidRDefault="00310607" w:rsidP="00310607">
      <w:r>
        <w:t xml:space="preserve">Information on the SaferSeas conference is available at </w:t>
      </w:r>
      <w:r w:rsidRPr="00EE7C00">
        <w:t>http://www.saferseas-brest.org/Home-552-0-0-0.html</w:t>
      </w:r>
      <w:r>
        <w:t>.</w:t>
      </w:r>
    </w:p>
    <w:p w:rsidR="00162EFF" w:rsidRDefault="00162EFF" w:rsidP="00162EFF">
      <w:pPr>
        <w:pStyle w:val="Heading1"/>
      </w:pPr>
      <w:r>
        <w:t>Lunch</w:t>
      </w:r>
    </w:p>
    <w:p w:rsidR="00162EFF" w:rsidRDefault="00162EFF">
      <w:r>
        <w:t xml:space="preserve">For those who registered, lunch is available in Le Quartz at cost of €25 per day on Tuesday and Wednesday. </w:t>
      </w:r>
    </w:p>
    <w:p w:rsidR="00162EFF" w:rsidRDefault="00162EFF">
      <w:r>
        <w:t>The following restaurants are close to Le Quartz and provide a quick lunch.</w:t>
      </w:r>
    </w:p>
    <w:tbl>
      <w:tblPr>
        <w:tblStyle w:val="TableGrid"/>
        <w:tblW w:w="0" w:type="auto"/>
        <w:jc w:val="center"/>
        <w:tblLook w:val="04A0" w:firstRow="1" w:lastRow="0" w:firstColumn="1" w:lastColumn="0" w:noHBand="0" w:noVBand="1"/>
      </w:tblPr>
      <w:tblGrid>
        <w:gridCol w:w="3005"/>
        <w:gridCol w:w="3005"/>
        <w:gridCol w:w="3006"/>
      </w:tblGrid>
      <w:tr w:rsidR="00162EFF" w:rsidRPr="00162EFF" w:rsidTr="00310607">
        <w:trPr>
          <w:jc w:val="center"/>
        </w:trPr>
        <w:tc>
          <w:tcPr>
            <w:tcW w:w="3005" w:type="dxa"/>
          </w:tcPr>
          <w:p w:rsidR="00162EFF" w:rsidRPr="00162EFF" w:rsidRDefault="00162EFF" w:rsidP="00162EFF">
            <w:pPr>
              <w:jc w:val="center"/>
            </w:pPr>
            <w:r w:rsidRPr="00162EFF">
              <w:rPr>
                <w:b/>
                <w:bCs/>
              </w:rPr>
              <w:t>RESTAURANT</w:t>
            </w:r>
          </w:p>
        </w:tc>
        <w:tc>
          <w:tcPr>
            <w:tcW w:w="3005" w:type="dxa"/>
          </w:tcPr>
          <w:p w:rsidR="00162EFF" w:rsidRPr="00162EFF" w:rsidRDefault="00162EFF" w:rsidP="00162EFF">
            <w:pPr>
              <w:jc w:val="center"/>
            </w:pPr>
            <w:r w:rsidRPr="00162EFF">
              <w:rPr>
                <w:b/>
                <w:bCs/>
              </w:rPr>
              <w:t>TYPE DE RESTAURATION</w:t>
            </w:r>
          </w:p>
        </w:tc>
        <w:tc>
          <w:tcPr>
            <w:tcW w:w="3006" w:type="dxa"/>
          </w:tcPr>
          <w:p w:rsidR="00162EFF" w:rsidRPr="00162EFF" w:rsidRDefault="00162EFF" w:rsidP="00162EFF">
            <w:pPr>
              <w:jc w:val="center"/>
            </w:pPr>
            <w:r w:rsidRPr="00162EFF">
              <w:rPr>
                <w:b/>
                <w:bCs/>
              </w:rPr>
              <w:t>ADRESSE</w:t>
            </w:r>
          </w:p>
        </w:tc>
      </w:tr>
      <w:tr w:rsidR="00162EFF" w:rsidRPr="00162EFF" w:rsidTr="00310607">
        <w:trPr>
          <w:jc w:val="center"/>
        </w:trPr>
        <w:tc>
          <w:tcPr>
            <w:tcW w:w="3005" w:type="dxa"/>
          </w:tcPr>
          <w:p w:rsidR="00162EFF" w:rsidRPr="00162EFF" w:rsidRDefault="00162EFF" w:rsidP="00162EFF">
            <w:proofErr w:type="spellStart"/>
            <w:r w:rsidRPr="00162EFF">
              <w:t>L'esprit</w:t>
            </w:r>
            <w:proofErr w:type="spellEnd"/>
            <w:r w:rsidRPr="00162EFF">
              <w:t xml:space="preserve"> Gourmand </w:t>
            </w:r>
          </w:p>
        </w:tc>
        <w:tc>
          <w:tcPr>
            <w:tcW w:w="3005" w:type="dxa"/>
          </w:tcPr>
          <w:p w:rsidR="00162EFF" w:rsidRPr="00162EFF" w:rsidRDefault="00162EFF" w:rsidP="00493BC6">
            <w:proofErr w:type="spellStart"/>
            <w:r w:rsidRPr="00162EFF">
              <w:t>Sandwichs</w:t>
            </w:r>
            <w:proofErr w:type="spellEnd"/>
            <w:r>
              <w:t>,</w:t>
            </w:r>
            <w:r w:rsidRPr="00162EFF">
              <w:t xml:space="preserve"> </w:t>
            </w:r>
            <w:proofErr w:type="spellStart"/>
            <w:r w:rsidRPr="00162EFF">
              <w:t>Salade</w:t>
            </w:r>
            <w:proofErr w:type="spellEnd"/>
            <w:r>
              <w:t>,</w:t>
            </w:r>
            <w:r w:rsidRPr="00162EFF">
              <w:t xml:space="preserve"> Paninis</w:t>
            </w:r>
          </w:p>
        </w:tc>
        <w:tc>
          <w:tcPr>
            <w:tcW w:w="3006" w:type="dxa"/>
          </w:tcPr>
          <w:p w:rsidR="00162EFF" w:rsidRPr="00162EFF" w:rsidRDefault="00162EFF" w:rsidP="00493BC6">
            <w:r w:rsidRPr="00162EFF">
              <w:t xml:space="preserve">Place de la </w:t>
            </w:r>
            <w:proofErr w:type="spellStart"/>
            <w:r w:rsidRPr="00162EFF">
              <w:t>Liberté</w:t>
            </w:r>
            <w:proofErr w:type="spellEnd"/>
          </w:p>
        </w:tc>
      </w:tr>
      <w:tr w:rsidR="00162EFF" w:rsidRPr="00162EFF" w:rsidTr="00310607">
        <w:trPr>
          <w:jc w:val="center"/>
        </w:trPr>
        <w:tc>
          <w:tcPr>
            <w:tcW w:w="3005" w:type="dxa"/>
          </w:tcPr>
          <w:p w:rsidR="00162EFF" w:rsidRPr="00162EFF" w:rsidRDefault="00162EFF" w:rsidP="00162EFF">
            <w:r w:rsidRPr="00162EFF">
              <w:t xml:space="preserve">Jack's Burger </w:t>
            </w:r>
          </w:p>
        </w:tc>
        <w:tc>
          <w:tcPr>
            <w:tcW w:w="3005" w:type="dxa"/>
          </w:tcPr>
          <w:p w:rsidR="00162EFF" w:rsidRPr="00162EFF" w:rsidRDefault="00162EFF" w:rsidP="00493BC6">
            <w:r w:rsidRPr="00162EFF">
              <w:t>Burgers</w:t>
            </w:r>
            <w:r>
              <w:t>,</w:t>
            </w:r>
            <w:r w:rsidRPr="00162EFF">
              <w:t xml:space="preserve"> Frites</w:t>
            </w:r>
          </w:p>
        </w:tc>
        <w:tc>
          <w:tcPr>
            <w:tcW w:w="3006" w:type="dxa"/>
          </w:tcPr>
          <w:p w:rsidR="00162EFF" w:rsidRPr="00162EFF" w:rsidRDefault="00162EFF" w:rsidP="00493BC6">
            <w:r w:rsidRPr="00162EFF">
              <w:t xml:space="preserve">Place de la </w:t>
            </w:r>
            <w:proofErr w:type="spellStart"/>
            <w:r w:rsidRPr="00162EFF">
              <w:t>Liberté</w:t>
            </w:r>
            <w:proofErr w:type="spellEnd"/>
          </w:p>
        </w:tc>
      </w:tr>
      <w:tr w:rsidR="00162EFF" w:rsidRPr="00162EFF" w:rsidTr="00310607">
        <w:trPr>
          <w:jc w:val="center"/>
        </w:trPr>
        <w:tc>
          <w:tcPr>
            <w:tcW w:w="3005" w:type="dxa"/>
          </w:tcPr>
          <w:p w:rsidR="00162EFF" w:rsidRPr="00162EFF" w:rsidRDefault="00162EFF" w:rsidP="00493BC6">
            <w:r w:rsidRPr="00162EFF">
              <w:t>Mezzo di Pasta</w:t>
            </w:r>
          </w:p>
        </w:tc>
        <w:tc>
          <w:tcPr>
            <w:tcW w:w="3005" w:type="dxa"/>
          </w:tcPr>
          <w:p w:rsidR="00162EFF" w:rsidRPr="00162EFF" w:rsidRDefault="00162EFF" w:rsidP="00493BC6">
            <w:proofErr w:type="spellStart"/>
            <w:r w:rsidRPr="00162EFF">
              <w:t>Pâtes</w:t>
            </w:r>
            <w:proofErr w:type="spellEnd"/>
          </w:p>
        </w:tc>
        <w:tc>
          <w:tcPr>
            <w:tcW w:w="3006" w:type="dxa"/>
          </w:tcPr>
          <w:p w:rsidR="00162EFF" w:rsidRPr="00162EFF" w:rsidRDefault="00162EFF" w:rsidP="00493BC6">
            <w:r w:rsidRPr="00162EFF">
              <w:t xml:space="preserve">Place de la </w:t>
            </w:r>
            <w:proofErr w:type="spellStart"/>
            <w:r w:rsidRPr="00162EFF">
              <w:t>liberté</w:t>
            </w:r>
            <w:proofErr w:type="spellEnd"/>
          </w:p>
        </w:tc>
      </w:tr>
      <w:tr w:rsidR="00162EFF" w:rsidRPr="00162EFF" w:rsidTr="00310607">
        <w:trPr>
          <w:jc w:val="center"/>
        </w:trPr>
        <w:tc>
          <w:tcPr>
            <w:tcW w:w="3005" w:type="dxa"/>
          </w:tcPr>
          <w:p w:rsidR="00162EFF" w:rsidRPr="00162EFF" w:rsidRDefault="00162EFF" w:rsidP="00162EFF">
            <w:r w:rsidRPr="00162EFF">
              <w:t xml:space="preserve">EKB Café </w:t>
            </w:r>
          </w:p>
        </w:tc>
        <w:tc>
          <w:tcPr>
            <w:tcW w:w="3005" w:type="dxa"/>
          </w:tcPr>
          <w:p w:rsidR="00162EFF" w:rsidRPr="00162EFF" w:rsidRDefault="00162EFF" w:rsidP="00493BC6">
            <w:r w:rsidRPr="00162EFF">
              <w:t>Sandwich</w:t>
            </w:r>
            <w:r>
              <w:t>,</w:t>
            </w:r>
            <w:r w:rsidRPr="00162EFF">
              <w:t xml:space="preserve"> </w:t>
            </w:r>
            <w:proofErr w:type="spellStart"/>
            <w:r w:rsidRPr="00162EFF">
              <w:t>Salade</w:t>
            </w:r>
            <w:proofErr w:type="spellEnd"/>
            <w:r>
              <w:t>,</w:t>
            </w:r>
            <w:r w:rsidRPr="00162EFF">
              <w:t xml:space="preserve"> Pasta Box</w:t>
            </w:r>
          </w:p>
        </w:tc>
        <w:tc>
          <w:tcPr>
            <w:tcW w:w="3006" w:type="dxa"/>
          </w:tcPr>
          <w:p w:rsidR="00162EFF" w:rsidRPr="00162EFF" w:rsidRDefault="00162EFF" w:rsidP="00493BC6">
            <w:r w:rsidRPr="00162EFF">
              <w:t>Rue Duquesne</w:t>
            </w:r>
          </w:p>
        </w:tc>
      </w:tr>
      <w:tr w:rsidR="00162EFF" w:rsidRPr="00162EFF" w:rsidTr="00310607">
        <w:trPr>
          <w:jc w:val="center"/>
        </w:trPr>
        <w:tc>
          <w:tcPr>
            <w:tcW w:w="3005" w:type="dxa"/>
          </w:tcPr>
          <w:p w:rsidR="00162EFF" w:rsidRPr="00162EFF" w:rsidRDefault="00162EFF" w:rsidP="00493BC6">
            <w:proofErr w:type="spellStart"/>
            <w:r w:rsidRPr="00162EFF">
              <w:t>L'impériale</w:t>
            </w:r>
            <w:proofErr w:type="spellEnd"/>
          </w:p>
        </w:tc>
        <w:tc>
          <w:tcPr>
            <w:tcW w:w="3005" w:type="dxa"/>
          </w:tcPr>
          <w:p w:rsidR="00162EFF" w:rsidRPr="00162EFF" w:rsidRDefault="00162EFF" w:rsidP="00493BC6">
            <w:proofErr w:type="spellStart"/>
            <w:r w:rsidRPr="00162EFF">
              <w:t>Asiatique</w:t>
            </w:r>
            <w:proofErr w:type="spellEnd"/>
          </w:p>
        </w:tc>
        <w:tc>
          <w:tcPr>
            <w:tcW w:w="3006" w:type="dxa"/>
          </w:tcPr>
          <w:p w:rsidR="00162EFF" w:rsidRPr="00162EFF" w:rsidRDefault="00162EFF" w:rsidP="00493BC6">
            <w:r w:rsidRPr="00162EFF">
              <w:t xml:space="preserve">Rue </w:t>
            </w:r>
            <w:proofErr w:type="spellStart"/>
            <w:r w:rsidRPr="00162EFF">
              <w:t>Comtesse</w:t>
            </w:r>
            <w:proofErr w:type="spellEnd"/>
            <w:r w:rsidRPr="00162EFF">
              <w:t xml:space="preserve"> </w:t>
            </w:r>
            <w:proofErr w:type="spellStart"/>
            <w:r w:rsidRPr="00162EFF">
              <w:t>Carbonnières</w:t>
            </w:r>
            <w:proofErr w:type="spellEnd"/>
          </w:p>
        </w:tc>
      </w:tr>
      <w:tr w:rsidR="00162EFF" w:rsidRPr="00162EFF" w:rsidTr="00310607">
        <w:trPr>
          <w:jc w:val="center"/>
        </w:trPr>
        <w:tc>
          <w:tcPr>
            <w:tcW w:w="3005" w:type="dxa"/>
          </w:tcPr>
          <w:p w:rsidR="00162EFF" w:rsidRPr="00162EFF" w:rsidRDefault="00162EFF" w:rsidP="00493BC6">
            <w:r w:rsidRPr="00162EFF">
              <w:t>Subway</w:t>
            </w:r>
          </w:p>
        </w:tc>
        <w:tc>
          <w:tcPr>
            <w:tcW w:w="3005" w:type="dxa"/>
          </w:tcPr>
          <w:p w:rsidR="00162EFF" w:rsidRPr="00162EFF" w:rsidRDefault="00162EFF" w:rsidP="00493BC6">
            <w:proofErr w:type="spellStart"/>
            <w:r w:rsidRPr="00162EFF">
              <w:t>Sandwichs</w:t>
            </w:r>
            <w:proofErr w:type="spellEnd"/>
          </w:p>
        </w:tc>
        <w:tc>
          <w:tcPr>
            <w:tcW w:w="3006" w:type="dxa"/>
          </w:tcPr>
          <w:p w:rsidR="00162EFF" w:rsidRPr="00162EFF" w:rsidRDefault="00162EFF" w:rsidP="00493BC6">
            <w:r w:rsidRPr="00162EFF">
              <w:t xml:space="preserve">Place de la </w:t>
            </w:r>
            <w:proofErr w:type="spellStart"/>
            <w:r w:rsidRPr="00162EFF">
              <w:t>Liberté</w:t>
            </w:r>
            <w:proofErr w:type="spellEnd"/>
          </w:p>
        </w:tc>
      </w:tr>
      <w:tr w:rsidR="00162EFF" w:rsidRPr="00162EFF" w:rsidTr="00310607">
        <w:trPr>
          <w:jc w:val="center"/>
        </w:trPr>
        <w:tc>
          <w:tcPr>
            <w:tcW w:w="3005" w:type="dxa"/>
          </w:tcPr>
          <w:p w:rsidR="00162EFF" w:rsidRPr="00162EFF" w:rsidRDefault="00162EFF" w:rsidP="00493BC6">
            <w:r w:rsidRPr="00162EFF">
              <w:t>Del Arte</w:t>
            </w:r>
          </w:p>
        </w:tc>
        <w:tc>
          <w:tcPr>
            <w:tcW w:w="3005" w:type="dxa"/>
          </w:tcPr>
          <w:p w:rsidR="00162EFF" w:rsidRPr="00162EFF" w:rsidRDefault="00162EFF" w:rsidP="00493BC6">
            <w:proofErr w:type="spellStart"/>
            <w:r w:rsidRPr="00162EFF">
              <w:t>Italien</w:t>
            </w:r>
            <w:proofErr w:type="spellEnd"/>
          </w:p>
        </w:tc>
        <w:tc>
          <w:tcPr>
            <w:tcW w:w="3006" w:type="dxa"/>
          </w:tcPr>
          <w:p w:rsidR="00162EFF" w:rsidRPr="00162EFF" w:rsidRDefault="00162EFF" w:rsidP="00493BC6">
            <w:r w:rsidRPr="00162EFF">
              <w:t xml:space="preserve">Place de la </w:t>
            </w:r>
            <w:proofErr w:type="spellStart"/>
            <w:r w:rsidRPr="00162EFF">
              <w:t>Liberté</w:t>
            </w:r>
            <w:proofErr w:type="spellEnd"/>
          </w:p>
        </w:tc>
      </w:tr>
      <w:tr w:rsidR="00162EFF" w:rsidRPr="00162EFF" w:rsidTr="00310607">
        <w:trPr>
          <w:jc w:val="center"/>
        </w:trPr>
        <w:tc>
          <w:tcPr>
            <w:tcW w:w="3005" w:type="dxa"/>
          </w:tcPr>
          <w:p w:rsidR="00162EFF" w:rsidRPr="00162EFF" w:rsidRDefault="00162EFF" w:rsidP="00493BC6">
            <w:r w:rsidRPr="00162EFF">
              <w:t xml:space="preserve">La petite </w:t>
            </w:r>
            <w:proofErr w:type="spellStart"/>
            <w:r w:rsidRPr="00162EFF">
              <w:t>poésie</w:t>
            </w:r>
            <w:proofErr w:type="spellEnd"/>
          </w:p>
        </w:tc>
        <w:tc>
          <w:tcPr>
            <w:tcW w:w="3005" w:type="dxa"/>
          </w:tcPr>
          <w:p w:rsidR="00162EFF" w:rsidRPr="00162EFF" w:rsidRDefault="00162EFF" w:rsidP="00493BC6">
            <w:r w:rsidRPr="00162EFF">
              <w:t>Tapas</w:t>
            </w:r>
            <w:r>
              <w:t>,</w:t>
            </w:r>
            <w:r w:rsidRPr="00162EFF">
              <w:t xml:space="preserve"> Burger</w:t>
            </w:r>
          </w:p>
        </w:tc>
        <w:tc>
          <w:tcPr>
            <w:tcW w:w="3006" w:type="dxa"/>
          </w:tcPr>
          <w:p w:rsidR="00162EFF" w:rsidRPr="00162EFF" w:rsidRDefault="00162EFF" w:rsidP="00493BC6">
            <w:r w:rsidRPr="00162EFF">
              <w:t xml:space="preserve">Place de la </w:t>
            </w:r>
            <w:proofErr w:type="spellStart"/>
            <w:r w:rsidRPr="00162EFF">
              <w:t>Liberté</w:t>
            </w:r>
            <w:proofErr w:type="spellEnd"/>
          </w:p>
        </w:tc>
      </w:tr>
      <w:tr w:rsidR="00162EFF" w:rsidRPr="00162EFF" w:rsidTr="00310607">
        <w:trPr>
          <w:jc w:val="center"/>
        </w:trPr>
        <w:tc>
          <w:tcPr>
            <w:tcW w:w="3005" w:type="dxa"/>
          </w:tcPr>
          <w:p w:rsidR="00162EFF" w:rsidRPr="00162EFF" w:rsidRDefault="00162EFF" w:rsidP="00493BC6">
            <w:r w:rsidRPr="00162EFF">
              <w:t xml:space="preserve">Les </w:t>
            </w:r>
            <w:proofErr w:type="spellStart"/>
            <w:r w:rsidRPr="00162EFF">
              <w:t>Relais</w:t>
            </w:r>
            <w:proofErr w:type="spellEnd"/>
            <w:r w:rsidRPr="00162EFF">
              <w:t xml:space="preserve"> </w:t>
            </w:r>
            <w:proofErr w:type="spellStart"/>
            <w:r w:rsidRPr="00162EFF">
              <w:t>d'Alsace</w:t>
            </w:r>
            <w:proofErr w:type="spellEnd"/>
            <w:r w:rsidRPr="00162EFF">
              <w:t xml:space="preserve"> -</w:t>
            </w:r>
            <w:proofErr w:type="spellStart"/>
            <w:r w:rsidRPr="00162EFF">
              <w:t>Taverne</w:t>
            </w:r>
            <w:proofErr w:type="spellEnd"/>
            <w:r w:rsidRPr="00162EFF">
              <w:t xml:space="preserve"> </w:t>
            </w:r>
            <w:proofErr w:type="spellStart"/>
            <w:r w:rsidRPr="00162EFF">
              <w:t>Karlsbrau</w:t>
            </w:r>
            <w:proofErr w:type="spellEnd"/>
          </w:p>
        </w:tc>
        <w:tc>
          <w:tcPr>
            <w:tcW w:w="3005" w:type="dxa"/>
          </w:tcPr>
          <w:p w:rsidR="00162EFF" w:rsidRPr="00162EFF" w:rsidRDefault="00162EFF" w:rsidP="00493BC6">
            <w:r w:rsidRPr="00162EFF">
              <w:t>Brasserie</w:t>
            </w:r>
          </w:p>
        </w:tc>
        <w:tc>
          <w:tcPr>
            <w:tcW w:w="3006" w:type="dxa"/>
          </w:tcPr>
          <w:p w:rsidR="00162EFF" w:rsidRPr="00162EFF" w:rsidRDefault="00162EFF" w:rsidP="00493BC6">
            <w:proofErr w:type="spellStart"/>
            <w:r w:rsidRPr="00162EFF">
              <w:t>En</w:t>
            </w:r>
            <w:proofErr w:type="spellEnd"/>
            <w:r w:rsidRPr="00162EFF">
              <w:t xml:space="preserve"> face du Quartz</w:t>
            </w:r>
          </w:p>
        </w:tc>
      </w:tr>
    </w:tbl>
    <w:p w:rsidR="00310607" w:rsidRDefault="00310607" w:rsidP="00310607">
      <w:pPr>
        <w:pStyle w:val="Heading1"/>
        <w:jc w:val="center"/>
      </w:pPr>
      <w:r w:rsidRPr="00310607">
        <w:lastRenderedPageBreak/>
        <w:drawing>
          <wp:inline distT="0" distB="0" distL="0" distR="0" wp14:anchorId="382AB8FD" wp14:editId="143CCE80">
            <wp:extent cx="6187218" cy="4771620"/>
            <wp:effectExtent l="0" t="0" r="444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stretch>
                      <a:fillRect/>
                    </a:stretch>
                  </pic:blipFill>
                  <pic:spPr>
                    <a:xfrm>
                      <a:off x="0" y="0"/>
                      <a:ext cx="6200593" cy="4781935"/>
                    </a:xfrm>
                    <a:prstGeom prst="rect">
                      <a:avLst/>
                    </a:prstGeom>
                  </pic:spPr>
                </pic:pic>
              </a:graphicData>
            </a:graphic>
          </wp:inline>
        </w:drawing>
      </w:r>
    </w:p>
    <w:p w:rsidR="00EE7C00" w:rsidRDefault="00EE7C00" w:rsidP="00D64E33">
      <w:pPr>
        <w:sectPr w:rsidR="00EE7C00" w:rsidSect="00EE7C00">
          <w:pgSz w:w="11906" w:h="16838"/>
          <w:pgMar w:top="1134" w:right="1134" w:bottom="1134" w:left="1134" w:header="708" w:footer="708" w:gutter="0"/>
          <w:cols w:space="708"/>
          <w:docGrid w:linePitch="360"/>
        </w:sectPr>
      </w:pPr>
    </w:p>
    <w:p w:rsidR="00162EFF" w:rsidRDefault="00952383">
      <w:r>
        <w:rPr>
          <w:noProof/>
          <w:lang w:eastAsia="en-IE"/>
        </w:rPr>
        <w:lastRenderedPageBreak/>
        <w:drawing>
          <wp:inline distT="0" distB="0" distL="0" distR="0">
            <wp:extent cx="8863330" cy="3846830"/>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eQuartz location.png"/>
                    <pic:cNvPicPr/>
                  </pic:nvPicPr>
                  <pic:blipFill>
                    <a:blip r:embed="rId5">
                      <a:extLst>
                        <a:ext uri="{28A0092B-C50C-407E-A947-70E740481C1C}">
                          <a14:useLocalDpi xmlns:a14="http://schemas.microsoft.com/office/drawing/2010/main" val="0"/>
                        </a:ext>
                      </a:extLst>
                    </a:blip>
                    <a:stretch>
                      <a:fillRect/>
                    </a:stretch>
                  </pic:blipFill>
                  <pic:spPr>
                    <a:xfrm>
                      <a:off x="0" y="0"/>
                      <a:ext cx="8863330" cy="3846830"/>
                    </a:xfrm>
                    <a:prstGeom prst="rect">
                      <a:avLst/>
                    </a:prstGeom>
                  </pic:spPr>
                </pic:pic>
              </a:graphicData>
            </a:graphic>
          </wp:inline>
        </w:drawing>
      </w:r>
    </w:p>
    <w:sectPr w:rsidR="00162EFF" w:rsidSect="00952383">
      <w:pgSz w:w="16838" w:h="11906" w:orient="landscape"/>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2EFF"/>
    <w:rsid w:val="000F1B51"/>
    <w:rsid w:val="001232DF"/>
    <w:rsid w:val="00162EFF"/>
    <w:rsid w:val="001A2D26"/>
    <w:rsid w:val="00255DEF"/>
    <w:rsid w:val="00310607"/>
    <w:rsid w:val="00493BC6"/>
    <w:rsid w:val="004B6AAA"/>
    <w:rsid w:val="00952383"/>
    <w:rsid w:val="009859D0"/>
    <w:rsid w:val="00D64E33"/>
    <w:rsid w:val="00EE7C00"/>
  </w:rsids>
  <m:mathPr>
    <m:mathFont m:val="Cambria Math"/>
    <m:brkBin m:val="before"/>
    <m:brkBinSub m:val="--"/>
    <m:smallFrac m:val="0"/>
    <m:dispDef/>
    <m:lMargin m:val="0"/>
    <m:rMargin m:val="0"/>
    <m:defJc m:val="centerGroup"/>
    <m:wrapIndent m:val="1440"/>
    <m:intLim m:val="subSup"/>
    <m:naryLim m:val="undOvr"/>
  </m:mathPr>
  <w:themeFontLang w:val="en-I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949855A2-984C-47A5-AADA-E03EE18B71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I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162EFF"/>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62EFF"/>
    <w:rPr>
      <w:rFonts w:asciiTheme="majorHAnsi" w:eastAsiaTheme="majorEastAsia" w:hAnsiTheme="majorHAnsi" w:cstheme="majorBidi"/>
      <w:color w:val="2E74B5" w:themeColor="accent1" w:themeShade="BF"/>
      <w:sz w:val="32"/>
      <w:szCs w:val="32"/>
    </w:rPr>
  </w:style>
  <w:style w:type="table" w:styleId="TableGrid">
    <w:name w:val="Table Grid"/>
    <w:basedOn w:val="TableNormal"/>
    <w:uiPriority w:val="39"/>
    <w:rsid w:val="00162EF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0"/>
    <w:qFormat/>
    <w:rsid w:val="00162EFF"/>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62EFF"/>
    <w:rPr>
      <w:rFonts w:asciiTheme="majorHAnsi" w:eastAsiaTheme="majorEastAsia" w:hAnsiTheme="majorHAnsi" w:cstheme="majorBidi"/>
      <w:spacing w:val="-10"/>
      <w:kern w:val="28"/>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255</Words>
  <Characters>1454</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Seamus Doyle</dc:creator>
  <cp:keywords/>
  <dc:description/>
  <cp:lastModifiedBy>Seamus Doyle</cp:lastModifiedBy>
  <cp:revision>2</cp:revision>
  <dcterms:created xsi:type="dcterms:W3CDTF">2015-10-21T14:35:00Z</dcterms:created>
  <dcterms:modified xsi:type="dcterms:W3CDTF">2015-10-21T14:35:00Z</dcterms:modified>
</cp:coreProperties>
</file>